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7C27D8F1"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4A778A" w:rsidRPr="004A778A">
        <w:rPr>
          <w:rFonts w:cs="Arial"/>
        </w:rPr>
        <w:t>10012181</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23CD"/>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A778A"/>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3710"/>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E7CD1"/>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15F"/>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1D23CD"/>
    <w:rsid w:val="0020366E"/>
    <w:rsid w:val="002F473C"/>
    <w:rsid w:val="003C1111"/>
    <w:rsid w:val="003F25C5"/>
    <w:rsid w:val="00547E99"/>
    <w:rsid w:val="006C344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2026-04-24T13:48:00Z</dcterms:created>
  <dcterms:modified xsi:type="dcterms:W3CDTF">2026-04-24T13:49:00Z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